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CC" w:rsidRPr="00BD35CC" w:rsidRDefault="00BD35CC" w:rsidP="00E873DE">
      <w:pPr>
        <w:bidi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D35CC">
        <w:rPr>
          <w:rFonts w:ascii="Tahoma" w:eastAsia="Times New Roman" w:hAnsi="Tahoma" w:cs="Tahoma"/>
          <w:b/>
          <w:bCs/>
          <w:sz w:val="24"/>
          <w:szCs w:val="24"/>
          <w:rtl/>
        </w:rPr>
        <w:t>آيين نامه اجرايي قانون خدمت پزشكان وپيراپزشكان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ماده1ـ         مشمولان قانون عبارتند از</w:t>
      </w:r>
      <w:r w:rsidRPr="00BD35CC">
        <w:rPr>
          <w:rFonts w:ascii="Tahoma" w:eastAsia="Times New Roman" w:hAnsi="Tahoma" w:cs="Tahoma"/>
          <w:sz w:val="20"/>
          <w:szCs w:val="20"/>
          <w:rtl/>
        </w:rPr>
        <w:t xml:space="preserve"> :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الف 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   گروه پزشكي شامل پزشك ، دندانپزشك ، داروساز ، دكتري علوم آزمايشگاهي و متخصصان رشته هاي مذكور0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ب 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     گروه پيراپزشكي ورشته هاي وابسته شامل فارغ التحصيلان كارداني وبالاتر در رشته هاي مامايي ، پرستاري ، راديولوژي ، علوم آزمايشگاهي ، رشته هاي مختلف بهداشتي ، اتاق  عمل ، هوشبري ، تغذيه ، شنوايي سنجي ، بينايي سنجي ، گفتار درماني ، كاردرماني، فيزيوتراپي ، ضبط آمار ومدارك پزشكي ، رشته هاي مربوط به علوم پايه پزشكي ، آمار زيستي ، خدمات اجتماعي و مددكاري وروانشناسي باليني ، پروتز دندان0تكنسين هاي فوريتهاي پزشكي ، علوم و صنايع غذايي ، اقتصاد بهداشت ، مهندسي پزشكي ، راديوتراپي ، تكنولوژي پزشكي ، رشته هاي مختلف توانبخشي ، اموردارويي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ماده2ـ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مناطق مورد نياز ماده 1 قانون خدمت پزشكان وپيراپزشكان مصوب 1375(كه از اين پس قانون ناميده مي شود) و رشته هاي مربوط ، همچنين گروههاي مازاد برنياز در ابتداي هرسال توسط وزارت بهداشت ، درمان وآموزش پزشكي تعيين واعلام خواهد شد0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ماده3ـ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توزيع فارغ التحصيلان گروههاي پزشكي وپيراپزشكي در مناطق مورد نياز با اولويت مناطق محروم با نظر كميسيوني است كه اعضاي آن توسط وزير بهداشت ، درمان وآموزش پزشكي تعيين مي شود0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ماده4ـ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كاردانهاي مبارزه با بيماريها وبهداشت خانواده وبهداشت كاردهان ودندان براساس قانون مربوط ، انجام وظيفه خواهند كرد0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ماده5ـ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درمورد بانوان مشمول قانون ملاك احراز ازدواج و تاريخ آن ، مندرجات شناسنامه زوجين است0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ماده6ـ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مراجع صدور گواهي پايان خدمات مشمولان قانون توسط وزير بهداشت ، درمان و آموزش پزشكي تعيين خواهد شد0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ماده7ـ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با مشمولان بيمار طبق نظر شورايعالي پزشكي وزارت بهداشت ، درمان وآموزش پزشكي رفتار خواهدشد0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ماده8ـ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درجهت اعمال ضوابط ماده 4 قانون مراكز آموزش موظفند تاريخ فراغت از تحصيل دانشجويان را به اداره كل فارغ التحصيلان اعلام كرده ، مراتب به نحو مقتضي به اطلاع آنها برسانند0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ماده9ـ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   خدمات بانوان متاهل فارغ التحصيل بعد از تاريخ 4/3/1360 كه به تبعيت از همسر وبا كسب پروانه خاص يا مجوز از وزارت بهداشت ، درمان وآموزش پزشكي يا بهداري در مناطق غير مجاز انجام وظيفه كرده اند قابل محاسبه مي باشد0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ماده10</w:t>
      </w:r>
      <w:r w:rsidRPr="00BD35CC">
        <w:rPr>
          <w:rFonts w:ascii="Tahoma" w:eastAsia="Times New Roman" w:hAnsi="Tahoma" w:cs="Tahoma"/>
          <w:sz w:val="20"/>
          <w:szCs w:val="20"/>
          <w:rtl/>
        </w:rPr>
        <w:t>ـ       ملاك احراز استخدام رسمي ، معرفينامه دستگاه ذيربط و آخرين حكم استخدامي رسمي كارمند است0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تبصره 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 اين قبيل مستخدمان رسمي دولت ، درصورتي مي توانند از تسهيلات پيش بيني شده در قانون استفاده كنند كه داراي مراكز بهداشتي ودرماني مجاز باشند0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ماده11ـ</w:t>
      </w:r>
      <w:r w:rsidRPr="00BD35CC">
        <w:rPr>
          <w:rFonts w:ascii="Tahoma" w:eastAsia="Times New Roman" w:hAnsi="Tahoma" w:cs="Tahoma"/>
          <w:sz w:val="20"/>
          <w:szCs w:val="20"/>
          <w:rtl/>
        </w:rPr>
        <w:t>       دراجراي ماده 2 قانون، مرجع صدور گواهي براي خانواده شهدا، بنياد شهيد انقلاب اسلامي مركز، براي جانبازان ، بنياد جانبازان انقلاب اسلامي مركز ، براي آزادگان ، ستاد كل رسيدگي به امور آزادگان مركز ، براي تك اولاد خانواده ، گواهي ثبت احوال محل مي باشد0</w:t>
      </w:r>
    </w:p>
    <w:p w:rsidR="00BD35CC" w:rsidRPr="00BD35CC" w:rsidRDefault="00BD35CC" w:rsidP="00E873DE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ماده12</w:t>
      </w:r>
      <w:r w:rsidRPr="00BD35CC">
        <w:rPr>
          <w:rFonts w:ascii="Tahoma" w:eastAsia="Times New Roman" w:hAnsi="Tahoma" w:cs="Tahoma"/>
          <w:sz w:val="20"/>
          <w:szCs w:val="20"/>
          <w:rtl/>
        </w:rPr>
        <w:t>ـ       دستيارانيكه به استناد ضوابط قانوني متعهد خدمت مي شوند با انجام تعهدات قانوني مجاز به دريافت گواهي پاياني وپروانه دائم خواهندبود0</w:t>
      </w:r>
    </w:p>
    <w:p w:rsidR="00F51963" w:rsidRDefault="00BD35CC" w:rsidP="00E873DE">
      <w:pPr>
        <w:jc w:val="right"/>
      </w:pPr>
      <w:r w:rsidRPr="00BD35CC">
        <w:rPr>
          <w:rFonts w:ascii="Tahoma" w:eastAsia="Times New Roman" w:hAnsi="Tahoma" w:cs="Tahoma"/>
          <w:b/>
          <w:bCs/>
          <w:sz w:val="20"/>
          <w:szCs w:val="20"/>
          <w:rtl/>
        </w:rPr>
        <w:t>ماده13</w:t>
      </w:r>
      <w:r w:rsidRPr="00BD35CC">
        <w:rPr>
          <w:rFonts w:ascii="Tahoma" w:eastAsia="Times New Roman" w:hAnsi="Tahoma" w:cs="Tahoma"/>
          <w:sz w:val="20"/>
          <w:szCs w:val="20"/>
          <w:rtl/>
        </w:rPr>
        <w:t>ـ       درمورد اعمال ضريب مناطق محروم، جدول موضوع تصويب نامه شماره 34097/ت 24243/ه مورخ 2/11/1381 ملاك عمل خواهد بود</w:t>
      </w:r>
      <w:bookmarkStart w:id="0" w:name="_GoBack"/>
      <w:bookmarkEnd w:id="0"/>
    </w:p>
    <w:sectPr w:rsidR="00F51963" w:rsidSect="00E873DE">
      <w:pgSz w:w="12240" w:h="15840"/>
      <w:pgMar w:top="907" w:right="851" w:bottom="90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5CC"/>
    <w:rsid w:val="00436233"/>
    <w:rsid w:val="00BD35CC"/>
    <w:rsid w:val="00E873DE"/>
    <w:rsid w:val="00F5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33"/>
  </w:style>
  <w:style w:type="paragraph" w:styleId="Heading2">
    <w:name w:val="heading 2"/>
    <w:basedOn w:val="Normal"/>
    <w:link w:val="Heading2Char"/>
    <w:uiPriority w:val="9"/>
    <w:qFormat/>
    <w:rsid w:val="00BD3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35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3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Saber</dc:creator>
  <cp:keywords/>
  <dc:description/>
  <cp:lastModifiedBy>Mehdi Soleymani</cp:lastModifiedBy>
  <cp:revision>4</cp:revision>
  <dcterms:created xsi:type="dcterms:W3CDTF">2016-02-09T07:34:00Z</dcterms:created>
  <dcterms:modified xsi:type="dcterms:W3CDTF">2016-02-23T04:53:00Z</dcterms:modified>
</cp:coreProperties>
</file>